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78" w:rsidRPr="002B0F78" w:rsidRDefault="002B0F78" w:rsidP="002B0F78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n" w:eastAsia="en-GB"/>
        </w:rPr>
      </w:pPr>
      <w:r w:rsidRPr="002B0F78">
        <w:rPr>
          <w:rFonts w:ascii="Times New Roman" w:eastAsia="Times New Roman" w:hAnsi="Times New Roman" w:cs="Times New Roman"/>
          <w:noProof/>
          <w:sz w:val="15"/>
          <w:szCs w:val="15"/>
          <w:lang w:eastAsia="en-GB"/>
        </w:rPr>
        <w:drawing>
          <wp:inline distT="0" distB="0" distL="0" distR="0">
            <wp:extent cx="678180" cy="586740"/>
            <wp:effectExtent l="0" t="0" r="7620" b="3810"/>
            <wp:docPr id="1" name="Picture 1" descr="https://assets.publishing.service.gov.uk/static/gov.uk_logotype_crown_invert-c7ab6e417ebe77c1e8bda29b788a2c1bce842456a5c926e3f8d7edd8f0958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publishing.service.gov.uk/static/gov.uk_logotype_crown_invert-c7ab6e417ebe77c1e8bda29b788a2c1bce842456a5c926e3f8d7edd8f09587f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F78">
        <w:rPr>
          <w:rFonts w:ascii="Times New Roman" w:eastAsia="Times New Roman" w:hAnsi="Times New Roman" w:cs="Times New Roman"/>
          <w:sz w:val="15"/>
          <w:szCs w:val="15"/>
          <w:lang w:val="en" w:eastAsia="en-GB"/>
        </w:rPr>
        <w:t xml:space="preserve">GOV.UK </w:t>
      </w:r>
    </w:p>
    <w:p w:rsidR="002B0F78" w:rsidRPr="002B0F78" w:rsidRDefault="002B0F78" w:rsidP="002B0F7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Wills, probate and inheritance</w:t>
      </w:r>
    </w:p>
    <w:p w:rsidR="002B0F78" w:rsidRPr="002B0F78" w:rsidRDefault="002B0F78" w:rsidP="00A343F8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1. Overview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When someone dies,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you’ll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need to get the legal right to deal with their property, money and possessions (their ‘estate’).</w:t>
      </w:r>
    </w:p>
    <w:p w:rsidR="002B0F78" w:rsidRPr="002B0F78" w:rsidRDefault="002B0F7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England and Wales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may be able to apply for a ‘grant of representation’ - known as ‘probate’.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apply yourself or use a solicitor or another person licensed to provide probate services.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Most cases follow the same basic process.</w:t>
      </w:r>
    </w:p>
    <w:p w:rsidR="002B0F78" w:rsidRPr="002B0F78" w:rsidRDefault="002B0F78" w:rsidP="002B0F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Check if there</w:t>
      </w:r>
      <w:r w:rsidR="00A343F8">
        <w:rPr>
          <w:rFonts w:ascii="Arial" w:eastAsia="Times New Roman" w:hAnsi="Arial" w:cs="Arial"/>
          <w:sz w:val="24"/>
          <w:szCs w:val="24"/>
          <w:lang w:val="en" w:eastAsia="en-GB"/>
        </w:rPr>
        <w:t xml:space="preserve"> i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s a will - this normally states who sorts out the estate. If there’s no will the next of kin can apply.</w:t>
      </w:r>
    </w:p>
    <w:p w:rsidR="002B0F78" w:rsidRPr="002B0F78" w:rsidRDefault="00EE6702" w:rsidP="002B0F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6" w:history="1">
        <w:r w:rsidR="002B0F78"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Apply to get a ‘grant of representation’</w:t>
        </w:r>
      </w:hyperlink>
      <w:r w:rsidR="002B0F78"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- this gives you the legal right to access things like the person’s bank account.</w:t>
      </w:r>
    </w:p>
    <w:p w:rsidR="002B0F78" w:rsidRPr="002B0F78" w:rsidRDefault="002B0F78" w:rsidP="002B0F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Pay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any Inheritance Tax that’s due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Pr="002B0F78" w:rsidRDefault="002B0F78" w:rsidP="002B0F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Collect the estate’s assets, for example money from the sale of the person’s property.</w:t>
      </w:r>
    </w:p>
    <w:p w:rsidR="002B0F78" w:rsidRPr="002B0F78" w:rsidRDefault="002B0F78" w:rsidP="002B0F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Pay any debts, for example unpaid utilities bills.</w:t>
      </w:r>
    </w:p>
    <w:p w:rsidR="002B0F78" w:rsidRPr="002B0F78" w:rsidRDefault="002B0F78" w:rsidP="002B0F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Distribute the estate - this means giving any property, money or possessions to the people entitled to it (‘beneficiaries’).</w:t>
      </w:r>
    </w:p>
    <w:p w:rsidR="002B0F78" w:rsidRPr="002B0F78" w:rsidRDefault="002B0F78" w:rsidP="002B0F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A grant of representation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can sometimes be known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as a ‘grant of probate’, ‘letters of administration’ or ‘letters of administration with a will’.</w:t>
      </w:r>
    </w:p>
    <w:p w:rsidR="002B0F78" w:rsidRPr="002B0F78" w:rsidRDefault="002B0F7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When a grant of representation </w:t>
      </w:r>
      <w:proofErr w:type="gramStart"/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may not be needed</w:t>
      </w:r>
      <w:proofErr w:type="gramEnd"/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don’t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normally need a grant if the estate either:</w:t>
      </w:r>
    </w:p>
    <w:p w:rsidR="002B0F78" w:rsidRPr="002B0F78" w:rsidRDefault="002B0F78" w:rsidP="00A343F8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passes to the surviving spouse or civil partner because it was held in </w:t>
      </w:r>
      <w:hyperlink r:id="rId7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joint names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, for example a savings account</w:t>
      </w:r>
    </w:p>
    <w:p w:rsidR="002B0F78" w:rsidRPr="002B0F78" w:rsidRDefault="002B0F78" w:rsidP="00A343F8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doesn’t include land, property or shares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should contact the </w:t>
      </w:r>
      <w:proofErr w:type="spell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organisation</w:t>
      </w:r>
      <w:proofErr w:type="spell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holding the money, for example the bank or building society. They may ask for proof of death, for example the death certificate after the death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has been </w:t>
      </w:r>
      <w:hyperlink r:id="rId8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registered</w:t>
        </w:r>
        <w:proofErr w:type="gramEnd"/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Each financial institution has its own rules - you may still need to apply for a grant.</w:t>
      </w:r>
    </w:p>
    <w:p w:rsidR="002B0F78" w:rsidRPr="002B0F78" w:rsidRDefault="002B0F7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Scotland and Northern Ireland</w:t>
      </w:r>
    </w:p>
    <w:p w:rsidR="002B0F78" w:rsidRDefault="002B0F7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process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is called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hyperlink r:id="rId9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‘confirmation’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Scotland and </w:t>
      </w:r>
      <w:hyperlink r:id="rId10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‘grant of probate’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Northern Ireland.</w:t>
      </w:r>
    </w:p>
    <w:p w:rsidR="00A343F8" w:rsidRPr="002B0F78" w:rsidRDefault="00A343F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B0F78" w:rsidRPr="002B0F78" w:rsidRDefault="002B0F78" w:rsidP="00A343F8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2. If the person left a will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apply for a grant of representation if you</w:t>
      </w:r>
      <w:r w:rsidR="00A343F8">
        <w:rPr>
          <w:rFonts w:ascii="Arial" w:eastAsia="Times New Roman" w:hAnsi="Arial" w:cs="Arial"/>
          <w:sz w:val="24"/>
          <w:szCs w:val="24"/>
          <w:lang w:val="en" w:eastAsia="en-GB"/>
        </w:rPr>
        <w:t xml:space="preserve"> a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re the ‘executor’ of the will - the person named to deal with the estate.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If more than one executor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is named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the will, the </w:t>
      </w:r>
      <w:hyperlink r:id="rId11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probate application form and guidance notes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explain what to do.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You should </w:t>
      </w:r>
      <w:hyperlink r:id="rId12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contact your local Probate Registry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either:</w:t>
      </w:r>
    </w:p>
    <w:p w:rsidR="002B0F78" w:rsidRPr="002B0F78" w:rsidRDefault="002B0F78" w:rsidP="00A343F8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no executor is named in the will</w:t>
      </w:r>
    </w:p>
    <w:p w:rsidR="002B0F78" w:rsidRPr="002B0F78" w:rsidRDefault="002B0F78" w:rsidP="00A343F8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none of the named executors are willing or able to apply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 Probate Registry will explain what you need to do.</w:t>
      </w:r>
    </w:p>
    <w:p w:rsidR="002B0F78" w:rsidRDefault="002B0F7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An executor does</w:t>
      </w:r>
      <w:r w:rsidR="00A343F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n</w:t>
      </w:r>
      <w:r w:rsidR="00A343F8">
        <w:rPr>
          <w:rFonts w:ascii="Arial" w:eastAsia="Times New Roman" w:hAnsi="Arial" w:cs="Arial"/>
          <w:sz w:val="24"/>
          <w:szCs w:val="24"/>
          <w:lang w:val="en" w:eastAsia="en-GB"/>
        </w:rPr>
        <w:t>o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 necessarily get any of the estate.</w:t>
      </w:r>
    </w:p>
    <w:p w:rsidR="00A343F8" w:rsidRPr="002B0F78" w:rsidRDefault="00A343F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B0F78" w:rsidRPr="002B0F78" w:rsidRDefault="002B0F78" w:rsidP="00A343F8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3. If the person didn't leave a will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An ‘administrator’ is the person who deals with the estate if there</w:t>
      </w:r>
      <w:r w:rsidR="00A343F8">
        <w:rPr>
          <w:rFonts w:ascii="Arial" w:eastAsia="Times New Roman" w:hAnsi="Arial" w:cs="Arial"/>
          <w:sz w:val="24"/>
          <w:szCs w:val="24"/>
          <w:lang w:val="en" w:eastAsia="en-GB"/>
        </w:rPr>
        <w:t xml:space="preserve"> i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s no will.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usually apply for a grant of representation to be the administrator of the estate if you</w:t>
      </w:r>
      <w:r w:rsidR="00A343F8">
        <w:rPr>
          <w:rFonts w:ascii="Arial" w:eastAsia="Times New Roman" w:hAnsi="Arial" w:cs="Arial"/>
          <w:sz w:val="24"/>
          <w:szCs w:val="24"/>
          <w:lang w:val="en" w:eastAsia="en-GB"/>
        </w:rPr>
        <w:t xml:space="preserve"> a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re the person’s next of kin, for example their spouse (or civil partner) or child.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apply if you</w:t>
      </w:r>
      <w:r w:rsidR="00A343F8">
        <w:rPr>
          <w:rFonts w:ascii="Arial" w:eastAsia="Times New Roman" w:hAnsi="Arial" w:cs="Arial"/>
          <w:sz w:val="24"/>
          <w:szCs w:val="24"/>
          <w:lang w:val="en" w:eastAsia="en-GB"/>
        </w:rPr>
        <w:t xml:space="preserve"> ha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d separated from the person but you were still married or in a civil partnership when they died.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</w:t>
      </w:r>
      <w:r w:rsidR="00A343F8">
        <w:rPr>
          <w:rFonts w:ascii="Arial" w:eastAsia="Times New Roman" w:hAnsi="Arial" w:cs="Arial"/>
          <w:sz w:val="24"/>
          <w:szCs w:val="24"/>
          <w:lang w:val="en" w:eastAsia="en-GB"/>
        </w:rPr>
        <w:t>no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 apply for a grant of representation if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you’re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partner of the person but weren’t their husband, wife or civil partner when they died. You</w:t>
      </w:r>
      <w:r w:rsidR="00A343F8">
        <w:rPr>
          <w:rFonts w:ascii="Arial" w:eastAsia="Times New Roman" w:hAnsi="Arial" w:cs="Arial"/>
          <w:sz w:val="24"/>
          <w:szCs w:val="24"/>
          <w:lang w:val="en" w:eastAsia="en-GB"/>
        </w:rPr>
        <w:t xml:space="preserve"> a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re also not automatically entitled to any of your partner’s estate.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law decides </w:t>
      </w:r>
      <w:hyperlink r:id="rId13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who inherits the estate if there</w:t>
        </w:r>
        <w:r w:rsidR="00A343F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 xml:space="preserve"> i</w:t>
        </w:r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s no will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Default="002B0F78" w:rsidP="00A343F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Read the </w:t>
      </w:r>
      <w:hyperlink r:id="rId14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rules for inheritance in other EU countries.</w:t>
        </w:r>
      </w:hyperlink>
    </w:p>
    <w:p w:rsidR="00A343F8" w:rsidRPr="002B0F78" w:rsidRDefault="00A343F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B0F78" w:rsidRPr="002B0F78" w:rsidRDefault="002B0F78" w:rsidP="00A343F8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4. Applying for a grant of representation</w:t>
      </w:r>
    </w:p>
    <w:p w:rsidR="002B0F78" w:rsidRPr="002B0F78" w:rsidRDefault="002B0F7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apply for a grant of representation yourself or use a solicitor or another person licensed to provide probate services.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 are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4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steps to follow.</w:t>
      </w:r>
    </w:p>
    <w:p w:rsidR="002B0F78" w:rsidRPr="002B0F78" w:rsidRDefault="002B0F78" w:rsidP="002B0F7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Complete a probate application form.</w:t>
      </w:r>
    </w:p>
    <w:p w:rsidR="002B0F78" w:rsidRPr="002B0F78" w:rsidRDefault="002B0F78" w:rsidP="002B0F7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Complete an Inheritance Tax form.</w:t>
      </w:r>
    </w:p>
    <w:p w:rsidR="002B0F78" w:rsidRPr="002B0F78" w:rsidRDefault="002B0F78" w:rsidP="002B0F7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Send your application.</w:t>
      </w:r>
    </w:p>
    <w:p w:rsidR="002B0F78" w:rsidRPr="002B0F78" w:rsidRDefault="002B0F78" w:rsidP="002B0F7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Swear an oath.</w:t>
      </w:r>
    </w:p>
    <w:p w:rsidR="00A343F8" w:rsidRDefault="00A343F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2B0F78" w:rsidRPr="002B0F78" w:rsidRDefault="002B0F7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Complete a probate application form</w:t>
      </w:r>
    </w:p>
    <w:p w:rsidR="002B0F78" w:rsidRPr="00A343F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</w:t>
      </w:r>
      <w:r w:rsidRPr="00A343F8">
        <w:rPr>
          <w:rFonts w:ascii="Arial" w:eastAsia="Times New Roman" w:hAnsi="Arial" w:cs="Arial"/>
          <w:sz w:val="24"/>
          <w:szCs w:val="24"/>
          <w:lang w:val="en" w:eastAsia="en-GB"/>
        </w:rPr>
        <w:t>can either:</w:t>
      </w:r>
    </w:p>
    <w:p w:rsidR="002B0F78" w:rsidRPr="002B0F78" w:rsidRDefault="002B0F78" w:rsidP="00A343F8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A343F8">
        <w:rPr>
          <w:rFonts w:ascii="Arial" w:eastAsia="Times New Roman" w:hAnsi="Arial" w:cs="Arial"/>
          <w:sz w:val="24"/>
          <w:szCs w:val="24"/>
          <w:lang w:val="en" w:eastAsia="en-GB"/>
        </w:rPr>
        <w:t xml:space="preserve">fill in the </w:t>
      </w:r>
      <w:hyperlink r:id="rId15" w:history="1">
        <w:r w:rsidRPr="00A343F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probate application form PA1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yourself</w:t>
      </w:r>
    </w:p>
    <w:p w:rsidR="002B0F78" w:rsidRPr="002B0F78" w:rsidRDefault="002B0F78" w:rsidP="00A343F8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call the </w:t>
      </w:r>
      <w:hyperlink r:id="rId16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Probate and Inheritance Tax helpline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get help filling in the form</w:t>
      </w:r>
    </w:p>
    <w:p w:rsidR="002B0F78" w:rsidRDefault="002B0F7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Complete </w:t>
      </w:r>
      <w:hyperlink r:id="rId17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form C1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apply for </w:t>
      </w:r>
      <w:hyperlink r:id="rId18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confirmation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Scotland.</w:t>
      </w:r>
    </w:p>
    <w:p w:rsidR="00A343F8" w:rsidRPr="002B0F78" w:rsidRDefault="00A343F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B0F78" w:rsidRPr="002B0F78" w:rsidRDefault="002B0F7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Complete an Inheritance Tax form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must </w:t>
      </w:r>
      <w:hyperlink r:id="rId19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work out how much the estate is worth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. Depending on its value, there may be </w:t>
      </w:r>
      <w:hyperlink r:id="rId20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Inheritance Tax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pay.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must also fill in the appropriate </w:t>
      </w:r>
      <w:hyperlink r:id="rId21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Inheritance Tax form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- even if you think no tax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is owed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may get a </w:t>
      </w:r>
      <w:hyperlink r:id="rId22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penalty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you send inaccurate information on your Inheritance Tax form.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If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there’s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tax to pay, you normally have to pay at least some of it before a grant of representation is issued to you.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claim the tax back from the estate or the beneficiaries, if you pay it out of your own bank account.</w:t>
      </w:r>
    </w:p>
    <w:p w:rsidR="002B0F78" w:rsidRPr="002B0F78" w:rsidRDefault="002B0F7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>Send your application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Send your application to your local </w:t>
      </w:r>
      <w:hyperlink r:id="rId23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Probate Registry.</w:t>
        </w:r>
      </w:hyperlink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should include:</w:t>
      </w:r>
    </w:p>
    <w:p w:rsidR="002B0F78" w:rsidRPr="002B0F78" w:rsidRDefault="002B0F78" w:rsidP="00A343F8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 probate application form PA1</w:t>
      </w:r>
    </w:p>
    <w:p w:rsidR="002B0F78" w:rsidRPr="002B0F78" w:rsidRDefault="002B0F78" w:rsidP="00A343F8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 Inheritance Tax form</w:t>
      </w:r>
    </w:p>
    <w:p w:rsidR="002B0F78" w:rsidRPr="002B0F78" w:rsidRDefault="002B0F78" w:rsidP="00A343F8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an official copy of the </w:t>
      </w:r>
      <w:hyperlink r:id="rId24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death certificate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2B0F78" w:rsidRPr="002B0F78" w:rsidRDefault="002B0F78" w:rsidP="00A343F8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 original will and 3 copies - and any codicils (additions or amendments to it)</w:t>
      </w:r>
    </w:p>
    <w:p w:rsidR="002B0F78" w:rsidRPr="002B0F78" w:rsidRDefault="002B0F78" w:rsidP="00A343F8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application fee of £215 - a </w:t>
      </w:r>
      <w:proofErr w:type="spell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cheque</w:t>
      </w:r>
      <w:proofErr w:type="spell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made payable to HM Courts and Tribunals Service (there’s no fee if the estate is under £5,000)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From May 2017 probate fees will be changing - find out </w:t>
      </w:r>
      <w:hyperlink r:id="rId25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 xml:space="preserve">how much </w:t>
        </w:r>
        <w:proofErr w:type="gramStart"/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you’ll</w:t>
        </w:r>
        <w:proofErr w:type="gramEnd"/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 xml:space="preserve"> need to pay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Pr="002B0F78" w:rsidRDefault="002B0F78" w:rsidP="002B0F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pay for extra copies of the grant (50p each) - this means you can send them to different </w:t>
      </w:r>
      <w:proofErr w:type="spell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organisations</w:t>
      </w:r>
      <w:proofErr w:type="spell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at the same time.</w:t>
      </w:r>
    </w:p>
    <w:p w:rsidR="002B0F78" w:rsidRPr="002B0F78" w:rsidRDefault="002B0F7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Swear an oath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probate office will send you an oath and details of how to arrange an appointment.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You’ll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need to swear the oath at either:</w:t>
      </w:r>
    </w:p>
    <w:p w:rsidR="002B0F78" w:rsidRPr="002B0F78" w:rsidRDefault="002B0F78" w:rsidP="00A343F8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 office of a commissioner for oaths (usually a solicitor)</w:t>
      </w:r>
    </w:p>
    <w:p w:rsidR="002B0F78" w:rsidRPr="002B0F78" w:rsidRDefault="002B0F78" w:rsidP="00A343F8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a local probate office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oath is a promise that the information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you’ve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given is true to the best of your knowledge.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should get the grant through the post within 10 working days of swearing the oath.</w:t>
      </w:r>
    </w:p>
    <w:p w:rsidR="002B0F78" w:rsidRDefault="002B0F7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If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it’s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not possible to issue a grant, the Probate Service will explain why in writing.</w:t>
      </w:r>
    </w:p>
    <w:p w:rsidR="00A343F8" w:rsidRPr="002B0F78" w:rsidRDefault="00A343F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B0F78" w:rsidRPr="002B0F78" w:rsidRDefault="002B0F78" w:rsidP="00A343F8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 xml:space="preserve">5. Once the </w:t>
      </w:r>
      <w:proofErr w:type="gramStart"/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grant's</w:t>
      </w:r>
      <w:proofErr w:type="gramEnd"/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 xml:space="preserve"> been issued</w:t>
      </w:r>
    </w:p>
    <w:p w:rsidR="002B0F78" w:rsidRDefault="002B0F7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should send a copy of the grant to </w:t>
      </w:r>
      <w:proofErr w:type="spell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organisations</w:t>
      </w:r>
      <w:proofErr w:type="spell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that hold the dead person’s assets, </w:t>
      </w:r>
      <w:proofErr w:type="spell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eg</w:t>
      </w:r>
      <w:proofErr w:type="spell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their bank. They should release any assets so you can transfer them into the executorship account.</w:t>
      </w:r>
    </w:p>
    <w:p w:rsidR="00A343F8" w:rsidRPr="002B0F78" w:rsidRDefault="00A343F8" w:rsidP="00A343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B0F78" w:rsidRPr="002B0F78" w:rsidRDefault="002B0F7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Pay debts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Pay off any debts the person had once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you’ve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secured all their assets. This could include:</w:t>
      </w:r>
    </w:p>
    <w:p w:rsidR="002B0F78" w:rsidRPr="002B0F78" w:rsidRDefault="002B0F78" w:rsidP="00A343F8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outstanding bills</w:t>
      </w:r>
    </w:p>
    <w:p w:rsidR="002B0F78" w:rsidRPr="002B0F78" w:rsidRDefault="002B0F78" w:rsidP="00A343F8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tax owed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As the executor or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administrator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 have a legal responsibility to pay off any debts or outstanding payments before distributing the estate.</w:t>
      </w:r>
    </w:p>
    <w:p w:rsidR="002B0F78" w:rsidRPr="002B0F78" w:rsidRDefault="00EE6702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26" w:history="1">
        <w:r w:rsidR="002B0F78"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Place a notice in The Gazette</w:t>
        </w:r>
      </w:hyperlink>
      <w:r w:rsidR="002B0F78"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give creditors the chance to claim anything </w:t>
      </w:r>
      <w:proofErr w:type="gramStart"/>
      <w:r w:rsidR="002B0F78" w:rsidRPr="002B0F78">
        <w:rPr>
          <w:rFonts w:ascii="Arial" w:eastAsia="Times New Roman" w:hAnsi="Arial" w:cs="Arial"/>
          <w:sz w:val="24"/>
          <w:szCs w:val="24"/>
          <w:lang w:val="en" w:eastAsia="en-GB"/>
        </w:rPr>
        <w:t>they’re</w:t>
      </w:r>
      <w:proofErr w:type="gramEnd"/>
      <w:r w:rsidR="002B0F78"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owed. This will protect you from responsibility for any debts.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use money from the estate to pay any solicitor’s fees as part of the probate process.</w:t>
      </w:r>
    </w:p>
    <w:p w:rsidR="002B0F78" w:rsidRPr="002B0F78" w:rsidRDefault="002B0F78" w:rsidP="00A343F8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Distribute the estate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Once all debts and taxes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have been paid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, you can distribute the estate as detailed:</w:t>
      </w:r>
    </w:p>
    <w:p w:rsidR="002B0F78" w:rsidRPr="002B0F78" w:rsidRDefault="002B0F78" w:rsidP="00A343F8">
      <w:pPr>
        <w:numPr>
          <w:ilvl w:val="0"/>
          <w:numId w:val="9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in the will</w:t>
      </w:r>
    </w:p>
    <w:p w:rsidR="002B0F78" w:rsidRPr="002B0F78" w:rsidRDefault="002B0F78" w:rsidP="00A343F8">
      <w:pPr>
        <w:numPr>
          <w:ilvl w:val="0"/>
          <w:numId w:val="9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by the law </w:t>
      </w:r>
      <w:hyperlink r:id="rId27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if there’s no will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After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this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 can prepare the estate accounts. These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must be approved and signed by you and the main beneficiaries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Pr="002B0F78" w:rsidRDefault="002B0F78" w:rsidP="00A343F8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Beneficiaries may have to pay </w:t>
      </w:r>
      <w:hyperlink r:id="rId28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Income Tax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the assets they inherit generate income for them.</w:t>
      </w:r>
    </w:p>
    <w:p w:rsidR="002B0F78" w:rsidRPr="002B0F78" w:rsidRDefault="002B0F78" w:rsidP="00EE6702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6. Stopping a grant of representation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stop the issue of a grant of representation. This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is called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a caveat - it stops probate from going ahead, for example because of a dispute over who can apply for a grant of representation or whether a will exists. A caveat lasts 6 months.</w:t>
      </w:r>
    </w:p>
    <w:p w:rsidR="002B0F78" w:rsidRPr="002B0F78" w:rsidRDefault="002B0F78" w:rsidP="00EE6702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How to enter a caveat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must be 18 or over to submit a caveat. You can do it yourself, or </w:t>
      </w:r>
      <w:hyperlink r:id="rId29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use a solicitor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another person licensed to provide probate services.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Write to or visit any </w:t>
      </w:r>
      <w:hyperlink r:id="rId30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Probate Registry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enter a caveat.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Probate Registry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can’t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give legal advice.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You’ll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need:</w:t>
      </w:r>
    </w:p>
    <w:p w:rsidR="002B0F78" w:rsidRPr="002B0F78" w:rsidRDefault="002B0F78" w:rsidP="00EE6702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a signed </w:t>
      </w:r>
      <w:hyperlink r:id="rId31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application for a caveat (form PA8)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2B0F78" w:rsidRPr="002B0F78" w:rsidRDefault="002B0F78" w:rsidP="00EE6702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 full name, date of death and last address of the person who’s died</w:t>
      </w:r>
    </w:p>
    <w:p w:rsidR="002B0F78" w:rsidRPr="002B0F78" w:rsidRDefault="002B0F78" w:rsidP="00EE6702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a home address in England or Wales</w:t>
      </w:r>
    </w:p>
    <w:p w:rsidR="002B0F78" w:rsidRDefault="002B0F78" w:rsidP="00EE67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It costs £20 to enter a caveat.</w:t>
      </w:r>
    </w:p>
    <w:p w:rsidR="00EE6702" w:rsidRPr="002B0F78" w:rsidRDefault="00EE6702" w:rsidP="00EE67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B0F78" w:rsidRPr="002B0F78" w:rsidRDefault="002B0F78" w:rsidP="00EE6702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7. Property and bank accounts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 deceased’s bank accounts are part of the estate.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Money in a joint bank account automatically passes to the other owners. You still have to include this money as part of the estate when you work out </w:t>
      </w:r>
      <w:hyperlink r:id="rId32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Inheritance Tax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What happens to the person’s property depends on how it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was owned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Pr="002B0F78" w:rsidRDefault="002B0F78" w:rsidP="00EE6702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Joint tenancy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If the property was owned under a ‘joint tenancy’ (‘joint owners’ in Scotland), the deceased and the other owner both own the whole of the home. Ownership passes to the surviving owner.</w:t>
      </w:r>
    </w:p>
    <w:p w:rsidR="002B0F78" w:rsidRPr="002B0F78" w:rsidRDefault="002B0F78" w:rsidP="00EE6702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Tenancy in common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If the property was owned under a ‘tenancy in common’ (‘common owners’ in Scotland and ‘coparceners’ in Northern Ireland), 2 or more people owned the home either in equal shares or a defined percentage.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person’s will (or the law </w:t>
      </w:r>
      <w:hyperlink r:id="rId33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if there</w:t>
        </w:r>
        <w:r w:rsidR="00EE6702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 xml:space="preserve"> i</w:t>
        </w:r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s no will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) decides who inherits their share.</w:t>
      </w:r>
    </w:p>
    <w:p w:rsidR="002B0F78" w:rsidRPr="002B0F78" w:rsidRDefault="002B0F78" w:rsidP="00EE6702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Owned outright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will (or the law if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there’s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no will) decides who </w:t>
      </w:r>
      <w:hyperlink r:id="rId34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inherits property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that is owned outright by the deceased.</w:t>
      </w:r>
    </w:p>
    <w:p w:rsid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Contact the mortgage company, </w:t>
      </w:r>
      <w:hyperlink r:id="rId35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check the Land Registry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get legal advice if you</w:t>
      </w:r>
      <w:r w:rsidR="00EE6702">
        <w:rPr>
          <w:rFonts w:ascii="Arial" w:eastAsia="Times New Roman" w:hAnsi="Arial" w:cs="Arial"/>
          <w:sz w:val="24"/>
          <w:szCs w:val="24"/>
          <w:lang w:val="en" w:eastAsia="en-GB"/>
        </w:rPr>
        <w:t xml:space="preserve"> a</w:t>
      </w: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re unsure how a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property’s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owned - you may need to </w:t>
      </w:r>
      <w:hyperlink r:id="rId36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update the property records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EE6702" w:rsidRDefault="00EE6702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EE6702" w:rsidRPr="002B0F78" w:rsidRDefault="00EE6702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B0F78" w:rsidRPr="002B0F78" w:rsidRDefault="002B0F78" w:rsidP="00EE6702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lastRenderedPageBreak/>
        <w:t xml:space="preserve">8. Search for probate records 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search for a probate record (for example a will or grant of representation) in England and Wales online or by post.</w:t>
      </w:r>
    </w:p>
    <w:p w:rsidR="002B0F78" w:rsidRPr="002B0F78" w:rsidRDefault="002B0F78" w:rsidP="00EE6702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Search online for a probate record</w:t>
      </w:r>
    </w:p>
    <w:p w:rsidR="002B0F78" w:rsidRPr="002B0F78" w:rsidRDefault="00EE6702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37" w:history="1">
        <w:r w:rsidR="002B0F78"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Search online</w:t>
        </w:r>
      </w:hyperlink>
      <w:r w:rsidR="002B0F78"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probate records for people who died in or after 1858.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order copies of probate records online. They cost £10 each - you can pay by debit or credit card.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It can take up to 10 working days for you to receive your documents. Working days do not include weekends or public holidays.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A new probate record will appear online approximately 14 days after a grant of representation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has been issued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Pr="002B0F78" w:rsidRDefault="002B0F78" w:rsidP="00EE6702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Search for a probate record by post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Download and fill in form </w:t>
      </w:r>
      <w:hyperlink r:id="rId38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PA1S - Application for a search (copies of grants and wills).</w:t>
        </w:r>
      </w:hyperlink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It costs £10 for a search, which includes a copy of the grant of representation and the will (if there is one).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 address you need is on the form.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should get a response within 4 weeks.</w:t>
      </w:r>
    </w:p>
    <w:p w:rsidR="002B0F78" w:rsidRPr="002B0F78" w:rsidRDefault="002B0F78" w:rsidP="00EE6702">
      <w:pPr>
        <w:keepNext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Get a ‘standing search’ for the next 6 months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also apply for a 6 month ‘standing search’ if the death was in the last 6 months.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means that if a grant of representation is issued in the next 6 months,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you’ll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receive a copy.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 can extend the standing search after 6 months.</w:t>
      </w:r>
    </w:p>
    <w:p w:rsidR="002B0F78" w:rsidRPr="002B0F78" w:rsidRDefault="002B0F78" w:rsidP="00EE6702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Contact the London Probate Department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will might be stored at the </w:t>
      </w:r>
      <w:hyperlink r:id="rId39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London Probate Department.</w:t>
        </w:r>
      </w:hyperlink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must provide proof of the death and that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you’re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executor named in the will. You might still be able to get the will if no executors </w:t>
      </w: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were named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B0F78" w:rsidRPr="002B0F78" w:rsidRDefault="002B0F78" w:rsidP="00EE6702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Scotland and Northern Ireland</w:t>
      </w:r>
    </w:p>
    <w:p w:rsidR="002B0F78" w:rsidRPr="002B0F78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>There’s</w:t>
      </w:r>
      <w:proofErr w:type="gramEnd"/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a different procedure in </w:t>
      </w:r>
      <w:hyperlink r:id="rId40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Scotland</w:t>
        </w:r>
      </w:hyperlink>
      <w:r w:rsidRPr="002B0F78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</w:t>
      </w:r>
      <w:hyperlink r:id="rId41" w:history="1">
        <w:r w:rsidRPr="002B0F78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Northern Ireland.</w:t>
        </w:r>
      </w:hyperlink>
    </w:p>
    <w:p w:rsidR="002B0F78" w:rsidRPr="00EE6702" w:rsidRDefault="002B0F78" w:rsidP="00EE670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E6702">
        <w:rPr>
          <w:rFonts w:ascii="Arial" w:eastAsia="Times New Roman" w:hAnsi="Arial" w:cs="Arial"/>
          <w:sz w:val="24"/>
          <w:szCs w:val="24"/>
          <w:lang w:val="en" w:eastAsia="en-GB"/>
        </w:rPr>
        <w:t>Last updated: 6 April 2017</w:t>
      </w:r>
      <w:bookmarkStart w:id="0" w:name="_GoBack"/>
      <w:bookmarkEnd w:id="0"/>
    </w:p>
    <w:p w:rsidR="002B0F78" w:rsidRPr="002B0F78" w:rsidRDefault="002B0F78" w:rsidP="002B0F78">
      <w:pPr>
        <w:keepNext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vanish/>
          <w:sz w:val="24"/>
          <w:szCs w:val="24"/>
          <w:lang w:val="en" w:eastAsia="en-GB"/>
        </w:rPr>
      </w:pPr>
      <w:r w:rsidRPr="002B0F78">
        <w:rPr>
          <w:rFonts w:ascii="Arial" w:eastAsia="Times New Roman" w:hAnsi="Arial" w:cs="Arial"/>
          <w:b/>
          <w:bCs/>
          <w:vanish/>
          <w:sz w:val="24"/>
          <w:szCs w:val="24"/>
          <w:lang w:val="en" w:eastAsia="en-GB"/>
        </w:rPr>
        <w:t>Help us improve GOV.UK</w:t>
      </w:r>
    </w:p>
    <w:p w:rsidR="002B0F78" w:rsidRPr="002B0F78" w:rsidRDefault="002B0F78" w:rsidP="002B0F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2B0F78">
        <w:rPr>
          <w:rFonts w:ascii="Arial" w:eastAsia="Times New Roman" w:hAnsi="Arial" w:cs="Arial"/>
          <w:vanish/>
          <w:sz w:val="24"/>
          <w:szCs w:val="24"/>
          <w:lang w:eastAsia="en-GB"/>
        </w:rPr>
        <w:t>Top of Form</w:t>
      </w:r>
    </w:p>
    <w:sectPr w:rsidR="002B0F78" w:rsidRPr="002B0F78" w:rsidSect="00A343F8"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114F"/>
    <w:multiLevelType w:val="multilevel"/>
    <w:tmpl w:val="75F0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232EF"/>
    <w:multiLevelType w:val="multilevel"/>
    <w:tmpl w:val="7402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8132F"/>
    <w:multiLevelType w:val="multilevel"/>
    <w:tmpl w:val="520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1E54BC"/>
    <w:multiLevelType w:val="multilevel"/>
    <w:tmpl w:val="F2C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23634B"/>
    <w:multiLevelType w:val="multilevel"/>
    <w:tmpl w:val="203A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311659"/>
    <w:multiLevelType w:val="multilevel"/>
    <w:tmpl w:val="048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E31780"/>
    <w:multiLevelType w:val="multilevel"/>
    <w:tmpl w:val="5DBE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41576"/>
    <w:multiLevelType w:val="multilevel"/>
    <w:tmpl w:val="E50E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9449A"/>
    <w:multiLevelType w:val="multilevel"/>
    <w:tmpl w:val="0848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D31506"/>
    <w:multiLevelType w:val="multilevel"/>
    <w:tmpl w:val="702A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8"/>
    <w:rsid w:val="002B0F78"/>
    <w:rsid w:val="00596F70"/>
    <w:rsid w:val="00947D04"/>
    <w:rsid w:val="00A343F8"/>
    <w:rsid w:val="00EE6702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B94F99"/>
  <w15:chartTrackingRefBased/>
  <w15:docId w15:val="{4CC22705-7229-49EC-81A9-2035451C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B0F78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B0F78"/>
    <w:pPr>
      <w:keepNext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B0F78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0F78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0F7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B0F7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modified-date">
    <w:name w:val="modified-date"/>
    <w:basedOn w:val="Normal"/>
    <w:rsid w:val="002B0F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1E1E1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0F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0F7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0F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0F78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fter-a-death/register-the-death" TargetMode="External"/><Relationship Id="rId13" Type="http://schemas.openxmlformats.org/officeDocument/2006/relationships/hyperlink" Target="https://www.gov.uk/inherits-someone-dies-without-will" TargetMode="External"/><Relationship Id="rId18" Type="http://schemas.openxmlformats.org/officeDocument/2006/relationships/hyperlink" Target="https://www.scotcourts.gov.uk/taking-action/dealing-with-a-deceased%27s-estate-in-scotland" TargetMode="External"/><Relationship Id="rId26" Type="http://schemas.openxmlformats.org/officeDocument/2006/relationships/hyperlink" Target="https://www.thegazette.co.uk/wills-and-probate/place-a-deceased-estates-notice" TargetMode="External"/><Relationship Id="rId39" Type="http://schemas.openxmlformats.org/officeDocument/2006/relationships/hyperlink" Target="https://courttribunalfinder.service.gov.uk/courts/london-probate-depart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valuing-estate-of-someone-who-died/forms" TargetMode="External"/><Relationship Id="rId34" Type="http://schemas.openxmlformats.org/officeDocument/2006/relationships/hyperlink" Target="https://www.gov.uk/tax-property-money-shares-you-inheri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v.uk/wills-probate-inheritance/property-and-bank-accounts" TargetMode="External"/><Relationship Id="rId12" Type="http://schemas.openxmlformats.org/officeDocument/2006/relationships/hyperlink" Target="https://courttribunalfinder.service.gov.uk/" TargetMode="External"/><Relationship Id="rId17" Type="http://schemas.openxmlformats.org/officeDocument/2006/relationships/hyperlink" Target="https://www.gov.uk/government/publications/inheritance-tax-confirmation-c1" TargetMode="External"/><Relationship Id="rId25" Type="http://schemas.openxmlformats.org/officeDocument/2006/relationships/hyperlink" Target="https://www.gov.uk/government/consultations/fee-proposals-for-grants-of-probate" TargetMode="External"/><Relationship Id="rId33" Type="http://schemas.openxmlformats.org/officeDocument/2006/relationships/hyperlink" Target="https://www.gov.uk/inherits-someone-dies-without-will" TargetMode="External"/><Relationship Id="rId38" Type="http://schemas.openxmlformats.org/officeDocument/2006/relationships/hyperlink" Target="http://hmctsformfinder.justice.gov.uk/HMCTS/GetForm.do?court_forms_id=7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organisations/hm-revenue-customs/contact/probate-and-inheritance-tax-enquiries" TargetMode="External"/><Relationship Id="rId20" Type="http://schemas.openxmlformats.org/officeDocument/2006/relationships/hyperlink" Target="https://www.gov.uk/inheritance-tax" TargetMode="External"/><Relationship Id="rId29" Type="http://schemas.openxmlformats.org/officeDocument/2006/relationships/hyperlink" Target="https://www.gov.uk/find-a-legal-adviser" TargetMode="External"/><Relationship Id="rId41" Type="http://schemas.openxmlformats.org/officeDocument/2006/relationships/hyperlink" Target="http://www.proni.gov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wills-probate-inheritance/applying-for-a-grant-of-representation" TargetMode="External"/><Relationship Id="rId11" Type="http://schemas.openxmlformats.org/officeDocument/2006/relationships/hyperlink" Target="https://www.gov.uk/wills-probate-inheritance/applying-for-a-grant-of-representation" TargetMode="External"/><Relationship Id="rId24" Type="http://schemas.openxmlformats.org/officeDocument/2006/relationships/hyperlink" Target="https://www.gov.uk/after-a-death/register-the-death" TargetMode="External"/><Relationship Id="rId32" Type="http://schemas.openxmlformats.org/officeDocument/2006/relationships/hyperlink" Target="https://www.gov.uk/inheritance-tax" TargetMode="External"/><Relationship Id="rId37" Type="http://schemas.openxmlformats.org/officeDocument/2006/relationships/hyperlink" Target="https://www.gov.uk/search-will-probate" TargetMode="External"/><Relationship Id="rId40" Type="http://schemas.openxmlformats.org/officeDocument/2006/relationships/hyperlink" Target="http://www.nrscotland.gov.uk/research/guides/wills-and-testamen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mctsformfinder.justice.gov.uk/HMCTS/GetForm.do?court_forms_id=735" TargetMode="External"/><Relationship Id="rId23" Type="http://schemas.openxmlformats.org/officeDocument/2006/relationships/hyperlink" Target="https://courttribunalfinder.service.gov.uk/search/postcode?aol=Probate" TargetMode="External"/><Relationship Id="rId28" Type="http://schemas.openxmlformats.org/officeDocument/2006/relationships/hyperlink" Target="https://www.gov.uk/income-tax" TargetMode="External"/><Relationship Id="rId36" Type="http://schemas.openxmlformats.org/officeDocument/2006/relationships/hyperlink" Target="https://www.gov.uk/update-property-records-someone-dies" TargetMode="External"/><Relationship Id="rId10" Type="http://schemas.openxmlformats.org/officeDocument/2006/relationships/hyperlink" Target="http://www.nidirect.gov.uk/applying-for-probate-in-northern-ireland" TargetMode="External"/><Relationship Id="rId19" Type="http://schemas.openxmlformats.org/officeDocument/2006/relationships/hyperlink" Target="https://www.gov.uk/valuing-estate-of-someone-who-died" TargetMode="External"/><Relationship Id="rId31" Type="http://schemas.openxmlformats.org/officeDocument/2006/relationships/hyperlink" Target="http://hmctsformfinder.justice.gov.uk/HMCTS/GetForm.do?court_forms_id=2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tcourts.gov.uk/taking-action/dealing-with-a-deceased%27s-estate-in-scotland" TargetMode="External"/><Relationship Id="rId14" Type="http://schemas.openxmlformats.org/officeDocument/2006/relationships/hyperlink" Target="https://e-justice.europa.eu/content_succession-166-en.do?clang=en" TargetMode="External"/><Relationship Id="rId22" Type="http://schemas.openxmlformats.org/officeDocument/2006/relationships/hyperlink" Target="https://www.gov.uk/government/publications/compliance-checks-penalties-for-inaccuracies-in-returns-or-documents-ccfs7a" TargetMode="External"/><Relationship Id="rId27" Type="http://schemas.openxmlformats.org/officeDocument/2006/relationships/hyperlink" Target="https://www.gov.uk/inherits-someone-dies-without-will" TargetMode="External"/><Relationship Id="rId30" Type="http://schemas.openxmlformats.org/officeDocument/2006/relationships/hyperlink" Target="https://courttribunalfinder.service.gov.uk/search/postcode?aol=Probate" TargetMode="External"/><Relationship Id="rId35" Type="http://schemas.openxmlformats.org/officeDocument/2006/relationships/hyperlink" Target="https://www.gov.uk/search-property-information-land-registr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Meader</dc:creator>
  <cp:keywords/>
  <dc:description/>
  <cp:lastModifiedBy>Anne Meader</cp:lastModifiedBy>
  <cp:revision>3</cp:revision>
  <dcterms:created xsi:type="dcterms:W3CDTF">2017-04-08T08:55:00Z</dcterms:created>
  <dcterms:modified xsi:type="dcterms:W3CDTF">2017-04-08T15:18:00Z</dcterms:modified>
</cp:coreProperties>
</file>